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noProof/>
          <w:color w:val="337AB7"/>
          <w:sz w:val="21"/>
          <w:szCs w:val="21"/>
          <w:lang w:eastAsia="cs-CZ"/>
        </w:rPr>
        <w:drawing>
          <wp:inline distT="0" distB="0" distL="0" distR="0" wp14:anchorId="768BE98E" wp14:editId="419B5ED2">
            <wp:extent cx="3398520" cy="42672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noProof/>
          <w:color w:val="337AB7"/>
          <w:sz w:val="21"/>
          <w:szCs w:val="21"/>
          <w:lang w:eastAsia="cs-CZ"/>
        </w:rPr>
        <w:drawing>
          <wp:inline distT="0" distB="0" distL="0" distR="0" wp14:anchorId="708BE66B" wp14:editId="12E30FD0">
            <wp:extent cx="1668780" cy="502920"/>
            <wp:effectExtent l="0" t="0" r="7620" b="0"/>
            <wp:docPr id="2" name="obrázek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bdr w:val="none" w:sz="0" w:space="0" w:color="auto" w:frame="1"/>
          <w:lang w:eastAsia="cs-CZ"/>
        </w:rPr>
        <w:t>Toggle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bdr w:val="none" w:sz="0" w:space="0" w:color="auto" w:frame="1"/>
          <w:lang w:eastAsia="cs-CZ"/>
        </w:rPr>
        <w:t>navigation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</w:t>
      </w:r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9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Aktuality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0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O programu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1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Pracoviště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2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Vědecké osobnosti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3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Publikace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4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Média </w:t>
        </w:r>
      </w:hyperlink>
    </w:p>
    <w:p w:rsidR="009C4C2C" w:rsidRPr="009C4C2C" w:rsidRDefault="009C4C2C" w:rsidP="009C4C2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hyperlink r:id="rId15" w:history="1">
        <w:r w:rsidRPr="009C4C2C">
          <w:rPr>
            <w:rFonts w:ascii="Times New Roman" w:eastAsia="Times New Roman" w:hAnsi="Times New Roman" w:cs="Helvetica"/>
            <w:vanish/>
            <w:color w:val="337AB7"/>
            <w:sz w:val="21"/>
            <w:szCs w:val="21"/>
            <w:lang w:eastAsia="cs-CZ"/>
          </w:rPr>
          <w:t xml:space="preserve">Kontakty </w:t>
        </w:r>
      </w:hyperlink>
    </w:p>
    <w:p w:rsidR="009C4C2C" w:rsidRPr="009C4C2C" w:rsidRDefault="009C4C2C" w:rsidP="009C4C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4C2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9C4C2C" w:rsidRPr="009C4C2C" w:rsidRDefault="009C4C2C" w:rsidP="009C4C2C">
      <w:pPr>
        <w:spacing w:before="120" w:line="240" w:lineRule="auto"/>
        <w:ind w:left="-450" w:right="-450"/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vanish/>
          <w:color w:val="333333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16" o:title=""/>
          </v:shape>
          <w:control r:id="rId17" w:name="DefaultOcxName" w:shapeid="_x0000_i1037"/>
        </w:object>
      </w:r>
    </w:p>
    <w:p w:rsidR="009C4C2C" w:rsidRPr="009C4C2C" w:rsidRDefault="009C4C2C" w:rsidP="009C4C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4C2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C4C2C" w:rsidRPr="009C4C2C" w:rsidRDefault="009C4C2C" w:rsidP="009C4C2C">
      <w:pPr>
        <w:spacing w:before="300" w:after="300" w:line="240" w:lineRule="auto"/>
        <w:outlineLvl w:val="0"/>
        <w:rPr>
          <w:rFonts w:ascii="PT Sans" w:eastAsia="Times New Roman" w:hAnsi="PT Sans" w:cs="Helvetica"/>
          <w:color w:val="0073C4"/>
          <w:kern w:val="36"/>
          <w:sz w:val="54"/>
          <w:szCs w:val="54"/>
          <w:lang w:eastAsia="cs-CZ"/>
        </w:rPr>
      </w:pPr>
      <w:r w:rsidRPr="009C4C2C">
        <w:rPr>
          <w:rFonts w:ascii="PT Sans" w:eastAsia="Times New Roman" w:hAnsi="PT Sans" w:cs="Helvetica"/>
          <w:color w:val="0073C4"/>
          <w:kern w:val="36"/>
          <w:sz w:val="54"/>
          <w:szCs w:val="54"/>
          <w:lang w:eastAsia="cs-CZ"/>
        </w:rPr>
        <w:t>Třeboňští algologové řeší s rybáři odchov plůdku candáta</w:t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999999"/>
          <w:sz w:val="18"/>
          <w:szCs w:val="18"/>
          <w:lang w:eastAsia="cs-CZ"/>
        </w:rPr>
      </w:pPr>
      <w:r w:rsidRPr="009C4C2C">
        <w:rPr>
          <w:rFonts w:ascii="PT Sans" w:eastAsia="Times New Roman" w:hAnsi="PT Sans" w:cs="Helvetica"/>
          <w:color w:val="999999"/>
          <w:sz w:val="18"/>
          <w:szCs w:val="18"/>
          <w:lang w:eastAsia="cs-CZ"/>
        </w:rPr>
        <w:t xml:space="preserve">30. listopad 2020 </w:t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noProof/>
          <w:color w:val="337AB7"/>
          <w:sz w:val="21"/>
          <w:szCs w:val="21"/>
          <w:lang w:eastAsia="cs-CZ"/>
        </w:rPr>
        <w:drawing>
          <wp:inline distT="0" distB="0" distL="0" distR="0" wp14:anchorId="00DD3097" wp14:editId="7156D00A">
            <wp:extent cx="2743200" cy="2743200"/>
            <wp:effectExtent l="0" t="0" r="0" b="0"/>
            <wp:docPr id="3" name="obrázek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Počátkem listopadu proběhl XVII. ročník České rybářské a ichtyologické konference, která se vzhledem k pandemickým okolnostem uskutečnila on-line. Na konferenci vystoupili se dvěma přednáškami pracovníci z Jihočeské univerzity Fakulty rybářství a ochrany vod, dr. Jiří Křišťan a dr. Carlos Yanes Roca a z Mikrobiologického ústavu AV ČR – Centra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Algatech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pak prof. Jiří Masojídek.</w:t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Profesor Masojídek představil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mikrořasové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biotechnologie a jejich možné využití v akvakulturách.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Mikrořasy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jsou významnou součástí potravního řetězce vodních živočichů, čehož se využívá i v akvakultuře, kde řasy představují základní složku potravy pro chované měkkýše, korýše a ryby, především v raných stádiích vývoje. A nemusí jít pouze o mořské plody určené na potravinářský trh, Česká republika je velmoc v produkci ornamentálních (akvarijních) ryb. Barvy od žluté přes oranžovou až po červenou jsou obvykle důsledkem konzumace karotenoidních barviv přítomných v potravě a primárním producentem těchto barviv jsou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mikrořasy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. I v případech, kdy nejde o barvu, hrají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mikrořasy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důležitou roli v 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mimopotravinářském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využití, příkladem může být záchranný odchov měkkýšů, například perlorodky pro české řeky.</w:t>
      </w: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Intenzivní akvakultura je velkým odběratelem řasové biomasy, buď jako krmného doplňku, nebo jako základní složky krmiva.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Mikrořasa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Haematococcus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je největším zdrojem karotenoidního barviva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astaxantinu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, které dává barvu lososům (obvykle jako přídavek do krmných směsí) nebo tzv. pstruhům lososovým. Nenasycené mastné kyseliny jsou do krmiv v intenzivních akvakulturách rovněž přidávány, v přírodě jsou pochopitelně součástí přirozené potravy. Řada mikroskopických řas se využívá pro vysokou produkci mastných kyselin, které dělají nakonec rybí maso zdravější, například řasy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Nannochloropsis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Isochrysis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Nitzchia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Phaeodactylum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nebo </w:t>
      </w:r>
      <w:proofErr w:type="spellStart"/>
      <w:r w:rsidRPr="009C4C2C">
        <w:rPr>
          <w:rFonts w:ascii="PT Sans" w:eastAsia="Times New Roman" w:hAnsi="PT Sans" w:cs="Helvetica"/>
          <w:i/>
          <w:iCs/>
          <w:color w:val="333333"/>
          <w:sz w:val="21"/>
          <w:szCs w:val="21"/>
          <w:lang w:eastAsia="cs-CZ"/>
        </w:rPr>
        <w:t>Schizochytrium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. Posledně jmenovaná se dnes pěstuje v zařízeních vypadajících spíše jako </w:t>
      </w:r>
      <w:proofErr w:type="gram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továrny</w:t>
      </w:r>
      <w:proofErr w:type="gram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 a dokonce nepotřebují ke svému životu ani světlo.</w:t>
      </w: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Propojení biotechnologie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, produkce zooplanktonu a odchov rybí násady je i hlavním tématem přeshraničního česko-rakouského projektu Algae4Fish, který získal podporu EU prostřednictvím programu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Interreg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 xml:space="preserve">. Některé nenasycené mastné kyseliny jsou klíčové pro správný a zdravý vývoj mozku embryí. Platí to u člověka, pochopitelně to platí i u ryb. Jednou z hlavních myšlenek projektu je využít ty </w:t>
      </w:r>
      <w:proofErr w:type="spellStart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mikrořasy</w:t>
      </w:r>
      <w:proofErr w:type="spellEnd"/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, které obsahují mastné kyseliny vhodné pro vývoj mozku u ryb, jako potravu pro zooplankton a tím následně krmit rybí potěr. Očekáváme zlepšení vývoje mozku rybích larev, vyšší behaviorální schopnost (lovu potravy) a ve svém důsledku pak vyšší procento přežití. Cílovou rybou je candát obecný. Environmentálním aspektem projektu je i to, že řasy ke svému růstu potřebují především oxid uhličitý, dusík a fosfor, což jsou látky, které jsou v intenzivních chovech rybí násady odpadem. Svou úlohu v projektu hraje i výběr vhodných druhů živé rybí potravy, zooplanktonu.</w:t>
      </w: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  <w:t>Projekt Algae4fish byl zahájen v roce 2020 a vedle zmíněných českých partnerů se na něm podílí rakouská společnost BEST, která se zabývá využitím odpadních živin v celém systému a rakouské Spolkové ministerstvo vodního hospodářství, které samo provozuje odchovny rybí násady pro alpská jezera a potýká se s problémy odchovu plůdku candáta obecného.</w:t>
      </w:r>
    </w:p>
    <w:p w:rsidR="009C4C2C" w:rsidRPr="009C4C2C" w:rsidRDefault="009C4C2C" w:rsidP="009C4C2C">
      <w:pPr>
        <w:spacing w:after="15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  <w:r w:rsidRPr="009C4C2C">
        <w:rPr>
          <w:rFonts w:ascii="PT Sans" w:eastAsia="Times New Roman" w:hAnsi="PT Sans" w:cs="Helvetica"/>
          <w:noProof/>
          <w:color w:val="333333"/>
          <w:sz w:val="21"/>
          <w:szCs w:val="21"/>
          <w:lang w:eastAsia="cs-CZ"/>
        </w:rPr>
        <w:drawing>
          <wp:inline distT="0" distB="0" distL="0" distR="0" wp14:anchorId="409DBDF6" wp14:editId="6C22CCA3">
            <wp:extent cx="3810000" cy="9296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2C" w:rsidRPr="009C4C2C" w:rsidRDefault="009C4C2C" w:rsidP="009C4C2C">
      <w:pPr>
        <w:spacing w:after="0" w:line="240" w:lineRule="auto"/>
        <w:rPr>
          <w:rFonts w:ascii="PT Sans" w:eastAsia="Times New Roman" w:hAnsi="PT Sans" w:cs="Helvetica"/>
          <w:color w:val="333333"/>
          <w:sz w:val="21"/>
          <w:szCs w:val="21"/>
          <w:lang w:eastAsia="cs-CZ"/>
        </w:rPr>
      </w:pPr>
    </w:p>
    <w:p w:rsidR="009C4C2C" w:rsidRPr="009C4C2C" w:rsidRDefault="009C4C2C" w:rsidP="009C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36"/>
          <w:szCs w:val="36"/>
          <w:lang w:eastAsia="cs-CZ"/>
        </w:rPr>
      </w:pPr>
      <w:r w:rsidRPr="009C4C2C">
        <w:rPr>
          <w:rFonts w:ascii="Times New Roman" w:eastAsia="Times New Roman" w:hAnsi="Times New Roman" w:cs="Helvetica"/>
          <w:sz w:val="24"/>
          <w:szCs w:val="24"/>
          <w:lang w:eastAsia="cs-CZ"/>
        </w:rPr>
        <w:pict/>
      </w:r>
      <w:r w:rsidRPr="009C4C2C">
        <w:rPr>
          <w:rFonts w:ascii="Arial" w:eastAsia="Times New Roman" w:hAnsi="Arial" w:cs="Arial"/>
          <w:vanish/>
          <w:color w:val="333333"/>
          <w:sz w:val="36"/>
          <w:szCs w:val="36"/>
          <w:lang w:eastAsia="cs-CZ"/>
        </w:rPr>
        <w:object w:dxaOrig="1440" w:dyaOrig="1440">
          <v:shape id="_x0000_i1036" type="#_x0000_t75" style="width:37.2pt;height:18pt" o:ole="">
            <v:imagedata r:id="rId21" o:title=""/>
          </v:shape>
          <w:control r:id="rId22" w:name="DefaultOcxName1" w:shapeid="_x0000_i1036"/>
        </w:object>
      </w:r>
    </w:p>
    <w:p w:rsidR="009C4C2C" w:rsidRPr="009C4C2C" w:rsidRDefault="009C4C2C" w:rsidP="009C4C2C">
      <w:pPr>
        <w:shd w:val="clear" w:color="auto" w:fill="0166FF"/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4"/>
          <w:szCs w:val="24"/>
          <w:lang w:eastAsia="cs-CZ"/>
        </w:rPr>
      </w:pPr>
      <w:r w:rsidRPr="009C4C2C">
        <w:rPr>
          <w:rFonts w:ascii="Segoe UI Symbol" w:eastAsia="Times New Roman" w:hAnsi="Segoe UI Symbol" w:cs="Segoe UI Symbol"/>
          <w:vanish/>
          <w:color w:val="FFFFFF"/>
          <w:sz w:val="24"/>
          <w:szCs w:val="24"/>
          <w:lang w:eastAsia="cs-CZ"/>
        </w:rPr>
        <w:t>✓</w:t>
      </w:r>
    </w:p>
    <w:p w:rsidR="009C4C2C" w:rsidRPr="009C4C2C" w:rsidRDefault="009C4C2C" w:rsidP="009C4C2C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36"/>
          <w:szCs w:val="36"/>
          <w:lang w:eastAsia="cs-CZ"/>
        </w:rPr>
      </w:pPr>
      <w:r w:rsidRPr="009C4C2C">
        <w:rPr>
          <w:rFonts w:ascii="Arial" w:eastAsia="Times New Roman" w:hAnsi="Arial" w:cs="Arial"/>
          <w:vanish/>
          <w:color w:val="333333"/>
          <w:sz w:val="36"/>
          <w:szCs w:val="36"/>
          <w:lang w:eastAsia="cs-CZ"/>
        </w:rPr>
        <w:t>Thanks for sharing!</w:t>
      </w:r>
    </w:p>
    <w:p w:rsidR="009C4C2C" w:rsidRPr="009C4C2C" w:rsidRDefault="009C4C2C" w:rsidP="009C4C2C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  <w:r w:rsidRPr="009C4C2C"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  <w:object w:dxaOrig="1440" w:dyaOrig="1440">
          <v:shape id="_x0000_i1035" type="#_x0000_t75" style="width:55.2pt;height:18pt" o:ole="">
            <v:imagedata r:id="rId23" o:title=""/>
          </v:shape>
          <w:control r:id="rId24" w:name="DefaultOcxName2" w:shapeid="_x0000_i1035"/>
        </w:object>
      </w:r>
    </w:p>
    <w:p w:rsidR="009C4C2C" w:rsidRPr="009C4C2C" w:rsidRDefault="009C4C2C" w:rsidP="009C4C2C">
      <w:pPr>
        <w:shd w:val="clear" w:color="auto" w:fill="FFFFFF"/>
        <w:spacing w:after="0" w:line="180" w:lineRule="atLeast"/>
        <w:jc w:val="center"/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  <w:hyperlink r:id="rId25" w:tgtFrame="_blank" w:tooltip="Share Buttons" w:history="1">
        <w:proofErr w:type="spellStart"/>
        <w:r w:rsidRPr="009C4C2C">
          <w:rPr>
            <w:rFonts w:ascii="Arial" w:eastAsia="Times New Roman" w:hAnsi="Arial" w:cs="Arial"/>
            <w:color w:val="337AB7"/>
            <w:sz w:val="18"/>
            <w:szCs w:val="18"/>
            <w:lang w:eastAsia="cs-CZ"/>
          </w:rPr>
          <w:t>AddToAny</w:t>
        </w:r>
      </w:hyperlink>
    </w:p>
    <w:p w:rsidR="009C4C2C" w:rsidRPr="009C4C2C" w:rsidRDefault="009C4C2C" w:rsidP="009C4C2C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  <w:hyperlink w:tooltip="Ukaž všechny" w:history="1">
        <w:r w:rsidRPr="009C4C2C">
          <w:rPr>
            <w:rFonts w:ascii="Arial" w:eastAsia="Times New Roman" w:hAnsi="Arial" w:cs="Arial"/>
            <w:vanish/>
            <w:color w:val="337AB7"/>
            <w:sz w:val="24"/>
            <w:szCs w:val="24"/>
            <w:lang w:eastAsia="cs-CZ"/>
          </w:rPr>
          <w:t>Více…</w:t>
        </w:r>
      </w:hyperlink>
    </w:p>
    <w:p w:rsidR="009C4C2C" w:rsidRPr="009C4C2C" w:rsidRDefault="009C4C2C" w:rsidP="009C4C2C">
      <w:pPr>
        <w:shd w:val="clear" w:color="auto" w:fill="EBEBEB"/>
        <w:spacing w:after="0" w:line="240" w:lineRule="auto"/>
        <w:rPr>
          <w:rFonts w:ascii="PT Sans" w:eastAsia="Times New Roman" w:hAnsi="PT Sans" w:cs="Helvetica"/>
          <w:color w:val="333333"/>
          <w:sz w:val="24"/>
          <w:szCs w:val="24"/>
          <w:lang w:eastAsia="cs-CZ"/>
        </w:rPr>
      </w:pPr>
      <w:r w:rsidRPr="009C4C2C">
        <w:rPr>
          <w:rFonts w:ascii="PT Sans" w:eastAsia="Times New Roman" w:hAnsi="PT Sans" w:cs="Helvetica"/>
          <w:color w:val="333333"/>
          <w:sz w:val="24"/>
          <w:szCs w:val="24"/>
          <w:lang w:eastAsia="cs-CZ"/>
        </w:rPr>
        <w:t>Strategie</w:t>
      </w:r>
      <w:proofErr w:type="spellEnd"/>
      <w:r w:rsidRPr="009C4C2C">
        <w:rPr>
          <w:rFonts w:ascii="PT Sans" w:eastAsia="Times New Roman" w:hAnsi="PT Sans" w:cs="Helvetica"/>
          <w:color w:val="333333"/>
          <w:sz w:val="24"/>
          <w:szCs w:val="24"/>
          <w:lang w:eastAsia="cs-CZ"/>
        </w:rPr>
        <w:t xml:space="preserve"> AV21 © 2020 </w:t>
      </w:r>
    </w:p>
    <w:p w:rsidR="009602D5" w:rsidRDefault="009602D5"/>
    <w:p w:rsidR="009C4C2C" w:rsidRDefault="009C4C2C"/>
    <w:p w:rsidR="009C4C2C" w:rsidRDefault="009C4C2C">
      <w:hyperlink r:id="rId26" w:history="1">
        <w:r w:rsidRPr="007D20BB">
          <w:rPr>
            <w:rStyle w:val="Hypertextovodkaz"/>
          </w:rPr>
          <w:t>https://www.potravinyav21.cz/trebonsti-algologove-resi-s-rybari-odchov-pludku-candata/</w:t>
        </w:r>
      </w:hyperlink>
    </w:p>
    <w:p w:rsidR="009C4C2C" w:rsidRDefault="009C4C2C">
      <w:bookmarkStart w:id="0" w:name="_GoBack"/>
      <w:bookmarkEnd w:id="0"/>
    </w:p>
    <w:sectPr w:rsidR="009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F1B"/>
    <w:multiLevelType w:val="multilevel"/>
    <w:tmpl w:val="F6D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2C"/>
    <w:rsid w:val="009602D5"/>
    <w:rsid w:val="009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1F7B"/>
  <w15:chartTrackingRefBased/>
  <w15:docId w15:val="{721DCF07-0818-4E85-85AB-302BB39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C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7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58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367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703">
                  <w:marLeft w:val="0"/>
                  <w:marRight w:val="0"/>
                  <w:marTop w:val="15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061035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68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37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0" w:color="CCCCCC"/>
                        <w:bottom w:val="single" w:sz="6" w:space="2" w:color="CCCCCC"/>
                        <w:right w:val="single" w:sz="6" w:space="18" w:color="CCCCCC"/>
                      </w:divBdr>
                    </w:div>
                  </w:divsChild>
                </w:div>
              </w:divsChild>
            </w:div>
            <w:div w:id="1352410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23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otravinyav21.cz/publikace" TargetMode="External"/><Relationship Id="rId18" Type="http://schemas.openxmlformats.org/officeDocument/2006/relationships/hyperlink" Target="https://www.potravinyav21.cz/data/pictures/815/o/815_1460_obrazek.jpg" TargetMode="External"/><Relationship Id="rId26" Type="http://schemas.openxmlformats.org/officeDocument/2006/relationships/hyperlink" Target="https://www.potravinyav21.cz/trebonsti-algologove-resi-s-rybari-odchov-pludku-candat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://www.cas.cz/" TargetMode="External"/><Relationship Id="rId12" Type="http://schemas.openxmlformats.org/officeDocument/2006/relationships/hyperlink" Target="https://www.potravinyav21.cz/vedecke-osobnosti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www.addtoan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otravinyav21.cz/pracoviste" TargetMode="External"/><Relationship Id="rId24" Type="http://schemas.openxmlformats.org/officeDocument/2006/relationships/control" Target="activeX/activeX3.xml"/><Relationship Id="rId5" Type="http://schemas.openxmlformats.org/officeDocument/2006/relationships/hyperlink" Target="https://www.potravinyav21.cz/" TargetMode="External"/><Relationship Id="rId15" Type="http://schemas.openxmlformats.org/officeDocument/2006/relationships/hyperlink" Target="https://www.potravinyav21.cz/kontakty" TargetMode="Externa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https://www.potravinyav21.cz/o-program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potravinyav21.cz/tema" TargetMode="External"/><Relationship Id="rId14" Type="http://schemas.openxmlformats.org/officeDocument/2006/relationships/hyperlink" Target="https://www.potravinyav21.cz/media" TargetMode="External"/><Relationship Id="rId22" Type="http://schemas.openxmlformats.org/officeDocument/2006/relationships/control" Target="activeX/activeX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Jaroslava BBus.</dc:creator>
  <cp:keywords/>
  <dc:description/>
  <cp:lastModifiedBy>Dubová Jaroslava BBus.</cp:lastModifiedBy>
  <cp:revision>1</cp:revision>
  <dcterms:created xsi:type="dcterms:W3CDTF">2020-11-30T14:00:00Z</dcterms:created>
  <dcterms:modified xsi:type="dcterms:W3CDTF">2020-11-30T14:01:00Z</dcterms:modified>
</cp:coreProperties>
</file>